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0F1B2E"/>
          <w:sz w:val="30"/>
          <w:szCs w:val="30"/>
        </w:rPr>
        <w:t xml:space="preserve">Report di cantiere</w:t>
      </w:r>
    </w:p>
    <w:p>
      <w:pPr>
        <w:spacing w:after="16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Situazione al 04/11/2026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Cantiere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ARC-2026-001 · 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Luogo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REGALBUTO, REGALBUTO (EN)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Committente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Project manager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Stato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 corso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Periodo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02/10/2026 → 02/11/2026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Budget di cantiere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1.112.550,08 €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Importo contratto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1.112.550,08 €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1. CONTROLLO COSTI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Budget dal computo «Lista Materiali e Specifiche Tecniche Regalbuto» v1.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2638"/>
        <w:gridCol w:w="1800"/>
        <w:gridCol w:w="1800"/>
        <w:gridCol w:w="1400"/>
        <w:gridCol w:w="2000"/>
      </w:tblGrid>
      <w:tr>
        <w:trPr>
          <w:tblHeader/>
        </w:trPr>
        <w:tc>
          <w:tcPr>
            <w:tcW w:type="dxa" w:w="26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Categoria</w:t>
            </w:r>
          </w:p>
        </w:tc>
        <w:tc>
          <w:tcPr>
            <w:tcW w:type="dxa" w:w="18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Budget</w:t>
            </w:r>
          </w:p>
        </w:tc>
        <w:tc>
          <w:tcPr>
            <w:tcW w:type="dxa" w:w="18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Speso</w:t>
            </w:r>
          </w:p>
        </w:tc>
        <w:tc>
          <w:tcPr>
            <w:tcW w:type="dxa" w:w="1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% speso</w:t>
            </w:r>
          </w:p>
        </w:tc>
        <w:tc>
          <w:tcPr>
            <w:tcW w:type="dxa" w:w="20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Stato</w:t>
            </w:r>
          </w:p>
        </w:tc>
      </w:tr>
      <w:tr>
        <w:trPr>
          <w:cantSplit/>
        </w:trPr>
        <w:tc>
          <w:tcPr>
            <w:tcW w:type="dxa" w:w="2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Materiali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 linea</w:t>
            </w:r>
          </w:p>
        </w:tc>
      </w:tr>
      <w:tr>
        <w:trPr>
          <w:cantSplit/>
        </w:trPr>
        <w:tc>
          <w:tcPr>
            <w:tcW w:type="dxa" w:w="2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Manodopera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 linea</w:t>
            </w:r>
          </w:p>
        </w:tc>
      </w:tr>
      <w:tr>
        <w:trPr>
          <w:cantSplit/>
        </w:trPr>
        <w:tc>
          <w:tcPr>
            <w:tcW w:type="dxa" w:w="2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Subappalti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 linea</w:t>
            </w:r>
          </w:p>
        </w:tc>
      </w:tr>
      <w:tr>
        <w:trPr>
          <w:cantSplit/>
        </w:trPr>
        <w:tc>
          <w:tcPr>
            <w:tcW w:type="dxa" w:w="26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Noleggi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 linea</w:t>
            </w:r>
          </w:p>
        </w:tc>
      </w:tr>
      <w:tr>
        <w:trPr>
          <w:cantSplit/>
        </w:trPr>
        <w:tc>
          <w:tcPr>
            <w:tcW w:type="dxa" w:w="2638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Totale</w:t>
            </w:r>
          </w:p>
        </w:tc>
        <w:tc>
          <w:tcPr>
            <w:tcW w:type="dxa" w:w="18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1.112.550,23 €</w:t>
            </w:r>
          </w:p>
        </w:tc>
        <w:tc>
          <w:tcPr>
            <w:tcW w:type="dxa" w:w="18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0,00 €</w:t>
            </w:r>
          </w:p>
        </w:tc>
        <w:tc>
          <w:tcPr>
            <w:tcW w:type="dxa" w:w="14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0%</w:t>
            </w:r>
          </w:p>
        </w:tc>
        <w:tc>
          <w:tcPr>
            <w:tcW w:type="dxa" w:w="2000"/>
            <w:shd w:fill="F1F5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Scostamento 1.112.550,23 €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2. STATO AVANZAMENTO LAVORI</w:t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  <w:tblLayout w:type="fixed"/>
      </w:tblPr>
      <w:tblGrid>
        <w:gridCol w:w="1400"/>
        <w:gridCol w:w="1500"/>
        <w:gridCol w:w="1300"/>
        <w:gridCol w:w="1900"/>
        <w:gridCol w:w="1938"/>
        <w:gridCol w:w="1600"/>
      </w:tblGrid>
      <w:tr>
        <w:trPr>
          <w:tblHeader/>
        </w:trPr>
        <w:tc>
          <w:tcPr>
            <w:tcW w:type="dxa" w:w="14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SAL</w:t>
            </w:r>
          </w:p>
        </w:tc>
        <w:tc>
          <w:tcPr>
            <w:tcW w:type="dxa" w:w="15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Lavori al</w:t>
            </w:r>
          </w:p>
        </w:tc>
        <w:tc>
          <w:tcPr>
            <w:tcW w:type="dxa" w:w="13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Stato</w:t>
            </w:r>
          </w:p>
        </w:tc>
        <w:tc>
          <w:tcPr>
            <w:tcW w:type="dxa" w:w="19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Importo SAL</w:t>
            </w:r>
          </w:p>
        </w:tc>
        <w:tc>
          <w:tcPr>
            <w:tcW w:type="dxa" w:w="1938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Netto cumulato</w:t>
            </w:r>
          </w:p>
        </w:tc>
        <w:tc>
          <w:tcPr>
            <w:tcW w:type="dxa" w:w="1600"/>
            <w:shd w:fill="0F1B2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Avanz. %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n. 1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02/10/2026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Bozza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9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0,00 €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0%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 SAL ancora emesso.</w:t>
      </w:r>
    </w:p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3. DOCUMENTI DI SPESA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Nessuna spesa registrata.</w:t>
      </w:r>
    </w:p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4. ATTIVITÀ DI CANTIERE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Rapportini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Giorni lavorati / sospesi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 / 0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Media operai per giorno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Giornate con criticità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Primo / ultimo rapportino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— / —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5. MEZZI IN CANTIERE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 mezzo assegnato.</w:t>
      </w:r>
    </w:p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6. SICUREZZA</w:t>
      </w:r>
    </w:p>
    <w:p>
      <w:pPr>
        <w:spacing w:after="80"/>
      </w:pPr>
      <w:r>
        <w:rPr>
          <w:rFonts w:ascii="Arial" w:cs="Arial" w:eastAsia="Arial" w:hAnsi="Arial"/>
          <w:color w:val="1E293B"/>
          <w:sz w:val="18"/>
          <w:szCs w:val="18"/>
        </w:rPr>
        <w:t xml:space="preserve">POS non ancora redatto.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 subappaltatore assegnato.</w:t>
      </w:r>
    </w:p>
    <w:p>
      <w:pPr>
        <w:spacing w:before="4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Il Project manager</w:t>
            </w:r>
          </w:p>
        </w:tc>
        <w:tc>
          <w:tcPr>
            <w:tcW w:type="dxa" w:w="4819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Per Arcodia S.r.l.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834" w:right="1134" w:bottom="1134" w:left="1134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4"/>
      </w:pBdr>
    </w:pPr>
    <w:r>
      <w:rPr>
        <w:rFonts w:ascii="Arial" w:cs="Arial" w:eastAsia="Arial" w:hAnsi="Arial"/>
        <w:color w:val="94A3B8"/>
        <w:sz w:val="13"/>
        <w:szCs w:val="13"/>
      </w:rPr>
      <w:t xml:space="preserve">Arcodia S.r.l. · P.IVA 01063740862 · Reg. Imprese di Enna · REA EN-56296</w:t>
    </w:r>
  </w:p>
  <w:p>
    <w:pPr>
      <w:jc w:val="right"/>
    </w:pPr>
    <w:r>
      <w:rPr>
        <w:rFonts w:ascii="Arial" w:cs="Arial" w:eastAsia="Arial" w:hAnsi="Arial"/>
        <w:color w:val="94A3B8"/>
        <w:sz w:val="13"/>
        <w:szCs w:val="13"/>
      </w:rPr>
      <w:t xml:space="preserve">ARC-2026-001 · Report 04/11/2026 · Pagina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4A3B8"/>
        <w:sz w:val="13"/>
        <w:szCs w:val="13"/>
      </w:rPr>
      <w:t xml:space="preserve"> di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4238"/>
    </w:tblGrid>
    <w:tr>
      <w:tc>
        <w:tcPr>
          <w:tcW w:type="dxa" w:w="5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619250" cy="276225"/>
                <wp:effectExtent t="0" r="0" b="0" l="0"/>
                <wp:docPr id="1" name="Logo" descr="Logo Arcodia S.r.l." title="Arco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40"/>
          </w:pPr>
          <w:r>
            <w:rPr>
              <w:rFonts w:ascii="Arial" w:cs="Arial" w:eastAsia="Arial" w:hAnsi="Arial"/>
              <w:color w:val="475569"/>
              <w:sz w:val="15"/>
              <w:szCs w:val="15"/>
            </w:rPr>
            <w:t xml:space="preserve">Arcodia S.r.l. · Ingegneria Naturalistica e Consolidamento</w:t>
          </w:r>
        </w:p>
      </w:tc>
      <w:tc>
        <w:tcPr>
          <w:tcW w:type="dxa" w:w="42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Sede operativa: Contrada Sotto Rocca · 94017 Regalbuto (EN)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P.IVA 01063740862 · REA EN-56296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Tel. +39 388 455 9304 · arcodiasrl@alice.it · arcodiasrl.com</w:t>
          </w:r>
        </w:p>
      </w:tc>
    </w:tr>
  </w:tbl>
  <w:p>
    <w:pPr>
      <w:pBdr>
        <w:bottom w:val="single" w:color="F08C0A" w:sz="18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◦"/>
      <w:lvlJc w:val="left"/>
      <w:pPr>
        <w:ind w:left="72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  <w:lvl w:ilvl="1" w15:tentative="1">
      <w:start w:val="1"/>
      <w:numFmt w:val="lowerLetter"/>
      <w:lvlText w:val="%2)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6c881f1efa643fd37be9ddfae9f221bd97b6b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di cantiere — REGALBUTO</dc:title>
  <dc:creator>Arcodia S.r.l.</dc:creator>
  <dc:description>ARC-2026-001 · Report 04/11/2026</dc:description>
  <cp:lastModifiedBy>Un-named</cp:lastModifiedBy>
  <cp:revision>1</cp:revision>
  <dcterms:created xsi:type="dcterms:W3CDTF">2026-11-04T17:32:39.049Z</dcterms:created>
  <dcterms:modified xsi:type="dcterms:W3CDTF">2026-11-04T17:32:39.049Z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